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4542" w14:textId="0FB7CD4F" w:rsidR="00F903F3" w:rsidRPr="002B3E9E" w:rsidRDefault="00E56208" w:rsidP="00E56208">
      <w:pPr>
        <w:pStyle w:val="Body1"/>
        <w:spacing w:after="0"/>
        <w:jc w:val="center"/>
        <w:rPr>
          <w:rFonts w:ascii="Times New Roman" w:hAnsi="Times New Roman"/>
          <w:b/>
          <w:bCs/>
          <w:sz w:val="20"/>
          <w:szCs w:val="20"/>
          <w:lang w:val="en-US"/>
        </w:rPr>
      </w:pPr>
      <w:r w:rsidRPr="002B3E9E">
        <w:rPr>
          <w:rFonts w:ascii="Times New Roman" w:hAnsi="Times New Roman"/>
          <w:b/>
          <w:bCs/>
          <w:sz w:val="20"/>
          <w:szCs w:val="20"/>
          <w:lang w:val="en-US"/>
        </w:rPr>
        <w:t>Disclaimer</w:t>
      </w:r>
    </w:p>
    <w:p w14:paraId="18B27E43" w14:textId="77777777" w:rsidR="00E56208" w:rsidRPr="002B3E9E" w:rsidRDefault="00E56208" w:rsidP="00E56208">
      <w:pPr>
        <w:pStyle w:val="Body1"/>
        <w:spacing w:after="0"/>
        <w:jc w:val="center"/>
        <w:rPr>
          <w:rFonts w:ascii="Times New Roman" w:hAnsi="Times New Roman"/>
          <w:b/>
          <w:bCs/>
          <w:sz w:val="20"/>
          <w:szCs w:val="20"/>
          <w:lang w:val="en-US"/>
        </w:rPr>
      </w:pPr>
    </w:p>
    <w:p w14:paraId="26B966C8"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31163ABB" w14:textId="77777777" w:rsidR="00E56208" w:rsidRPr="002B3E9E" w:rsidRDefault="00E56208" w:rsidP="00E56208">
      <w:pPr>
        <w:pStyle w:val="Body1"/>
        <w:spacing w:after="0"/>
        <w:rPr>
          <w:rFonts w:ascii="Times New Roman" w:hAnsi="Times New Roman"/>
          <w:sz w:val="20"/>
          <w:szCs w:val="20"/>
          <w:lang w:val="en-US"/>
        </w:rPr>
      </w:pPr>
    </w:p>
    <w:p w14:paraId="3CD7EE7A"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THESE MATERIALS ARE NOT DIRECTED AT OR INTENDED TO BE ACCESSED BY PERSONS LOCATED OUTSIDE INDIA.</w:t>
      </w:r>
    </w:p>
    <w:p w14:paraId="42E4904B" w14:textId="77777777" w:rsidR="00E56208" w:rsidRPr="002B3E9E" w:rsidRDefault="00E56208" w:rsidP="00E56208">
      <w:pPr>
        <w:pStyle w:val="Body1"/>
        <w:spacing w:after="0"/>
        <w:rPr>
          <w:rFonts w:ascii="Times New Roman" w:hAnsi="Times New Roman"/>
          <w:sz w:val="20"/>
          <w:szCs w:val="20"/>
          <w:lang w:val="en-US"/>
        </w:rPr>
      </w:pPr>
    </w:p>
    <w:p w14:paraId="385BDB8C"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IMPORTANT: You must read and agree with the terms and conditions of the following disclaimer before continuing.</w:t>
      </w:r>
    </w:p>
    <w:p w14:paraId="6FD4B16C" w14:textId="77777777" w:rsidR="00E56208" w:rsidRPr="002B3E9E" w:rsidRDefault="00E56208" w:rsidP="00E56208">
      <w:pPr>
        <w:pStyle w:val="Body1"/>
        <w:spacing w:after="0"/>
        <w:rPr>
          <w:rFonts w:ascii="Times New Roman" w:hAnsi="Times New Roman"/>
          <w:sz w:val="20"/>
          <w:szCs w:val="20"/>
          <w:lang w:val="en-US"/>
        </w:rPr>
      </w:pPr>
    </w:p>
    <w:p w14:paraId="4DA77DC9" w14:textId="6D118B16" w:rsidR="00E56208" w:rsidRPr="00092533" w:rsidRDefault="00E56208" w:rsidP="00092533">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w:t>
      </w:r>
      <w:r w:rsidRPr="00092533">
        <w:rPr>
          <w:rFonts w:ascii="Times New Roman" w:hAnsi="Times New Roman"/>
          <w:sz w:val="20"/>
          <w:szCs w:val="20"/>
          <w:lang w:val="en-US"/>
        </w:rPr>
        <w:t xml:space="preserve">he following disclaimer applies to the audio visual film of </w:t>
      </w:r>
      <w:r w:rsidR="002D6F7B">
        <w:rPr>
          <w:rFonts w:ascii="Times New Roman" w:hAnsi="Times New Roman"/>
          <w:sz w:val="20"/>
          <w:szCs w:val="20"/>
          <w:lang w:val="en-US"/>
        </w:rPr>
        <w:t xml:space="preserve">HDB Financial Services Limited </w:t>
      </w:r>
      <w:r w:rsidR="005B636B">
        <w:rPr>
          <w:rFonts w:ascii="Times New Roman" w:hAnsi="Times New Roman"/>
          <w:sz w:val="20"/>
          <w:szCs w:val="20"/>
          <w:lang w:val="en-US"/>
        </w:rPr>
        <w:t>(</w:t>
      </w:r>
      <w:r w:rsidRPr="00092533">
        <w:rPr>
          <w:rFonts w:ascii="Times New Roman" w:hAnsi="Times New Roman"/>
          <w:sz w:val="20"/>
          <w:szCs w:val="20"/>
          <w:lang w:val="en-US"/>
        </w:rPr>
        <w:t xml:space="preserve">the </w:t>
      </w:r>
      <w:r w:rsidR="005B636B">
        <w:rPr>
          <w:rFonts w:ascii="Times New Roman" w:hAnsi="Times New Roman"/>
          <w:sz w:val="20"/>
          <w:szCs w:val="20"/>
          <w:lang w:val="en-US"/>
        </w:rPr>
        <w:t>“</w:t>
      </w:r>
      <w:r w:rsidRPr="005B636B">
        <w:rPr>
          <w:rFonts w:ascii="Times New Roman" w:hAnsi="Times New Roman"/>
          <w:b/>
          <w:bCs/>
          <w:sz w:val="20"/>
          <w:szCs w:val="20"/>
          <w:lang w:val="en-US"/>
        </w:rPr>
        <w:t>Company</w:t>
      </w:r>
      <w:r w:rsidR="005B636B">
        <w:rPr>
          <w:rFonts w:ascii="Times New Roman" w:hAnsi="Times New Roman"/>
          <w:sz w:val="20"/>
          <w:szCs w:val="20"/>
          <w:lang w:val="en-US"/>
        </w:rPr>
        <w:t>”)</w:t>
      </w:r>
      <w:r w:rsidRPr="00092533">
        <w:rPr>
          <w:rFonts w:ascii="Times New Roman" w:hAnsi="Times New Roman"/>
          <w:sz w:val="20"/>
          <w:szCs w:val="20"/>
          <w:lang w:val="en-US"/>
        </w:rPr>
        <w:t xml:space="preserve"> dated </w:t>
      </w:r>
      <w:r w:rsidR="005B636B">
        <w:rPr>
          <w:rFonts w:ascii="Times New Roman" w:hAnsi="Times New Roman"/>
          <w:sz w:val="20"/>
          <w:szCs w:val="20"/>
          <w:lang w:val="en-US"/>
        </w:rPr>
        <w:t>November</w:t>
      </w:r>
      <w:r w:rsidR="00C16DCF">
        <w:rPr>
          <w:rFonts w:ascii="Times New Roman" w:hAnsi="Times New Roman"/>
          <w:sz w:val="20"/>
          <w:szCs w:val="20"/>
          <w:lang w:val="en-US"/>
        </w:rPr>
        <w:t xml:space="preserve"> </w:t>
      </w:r>
      <w:r w:rsidR="002D6F7B">
        <w:rPr>
          <w:rFonts w:ascii="Times New Roman" w:hAnsi="Times New Roman"/>
          <w:sz w:val="20"/>
          <w:szCs w:val="20"/>
          <w:lang w:val="en-US"/>
        </w:rPr>
        <w:t xml:space="preserve">7, </w:t>
      </w:r>
      <w:proofErr w:type="gramStart"/>
      <w:r w:rsidR="002D6F7B">
        <w:rPr>
          <w:rFonts w:ascii="Times New Roman" w:hAnsi="Times New Roman"/>
          <w:sz w:val="20"/>
          <w:szCs w:val="20"/>
          <w:lang w:val="en-US"/>
        </w:rPr>
        <w:t>2024</w:t>
      </w:r>
      <w:r w:rsidRPr="00092533">
        <w:rPr>
          <w:rFonts w:ascii="Times New Roman" w:hAnsi="Times New Roman"/>
          <w:sz w:val="20"/>
          <w:szCs w:val="20"/>
          <w:lang w:val="en-US"/>
        </w:rPr>
        <w:t>,  (</w:t>
      </w:r>
      <w:proofErr w:type="gramEnd"/>
      <w:r w:rsidRPr="00092533">
        <w:rPr>
          <w:rFonts w:ascii="Times New Roman" w:hAnsi="Times New Roman"/>
          <w:sz w:val="20"/>
          <w:szCs w:val="20"/>
          <w:lang w:val="en-US"/>
        </w:rPr>
        <w:t>the “</w:t>
      </w:r>
      <w:r w:rsidRPr="00092533">
        <w:rPr>
          <w:rFonts w:ascii="Times New Roman" w:hAnsi="Times New Roman"/>
          <w:b/>
          <w:bCs/>
          <w:sz w:val="20"/>
          <w:szCs w:val="20"/>
          <w:lang w:val="en-US"/>
        </w:rPr>
        <w:t>IPO AV</w:t>
      </w:r>
      <w:r w:rsidRPr="00092533">
        <w:rPr>
          <w:rFonts w:ascii="Times New Roman" w:hAnsi="Times New Roman"/>
          <w:sz w:val="20"/>
          <w:szCs w:val="20"/>
          <w:lang w:val="en-US"/>
        </w:rPr>
        <w:t>”), in relation to the initial public offering of the equity shares of face value of ₹</w:t>
      </w:r>
      <w:r w:rsidR="009A5A44">
        <w:rPr>
          <w:rFonts w:ascii="Times New Roman" w:hAnsi="Times New Roman"/>
          <w:sz w:val="20"/>
          <w:szCs w:val="20"/>
          <w:lang w:val="en-US"/>
        </w:rPr>
        <w:t xml:space="preserve"> </w:t>
      </w:r>
      <w:r w:rsidR="000D6101">
        <w:rPr>
          <w:rFonts w:ascii="Times New Roman" w:hAnsi="Times New Roman"/>
          <w:sz w:val="20"/>
          <w:szCs w:val="20"/>
          <w:lang w:val="en-US"/>
        </w:rPr>
        <w:t>10</w:t>
      </w:r>
      <w:r w:rsidR="000D6101" w:rsidRPr="00092533">
        <w:rPr>
          <w:rFonts w:ascii="Times New Roman" w:hAnsi="Times New Roman"/>
          <w:sz w:val="20"/>
          <w:szCs w:val="20"/>
          <w:lang w:val="en-US"/>
        </w:rPr>
        <w:t xml:space="preserve"> </w:t>
      </w:r>
      <w:r w:rsidRPr="00092533">
        <w:rPr>
          <w:rFonts w:ascii="Times New Roman" w:hAnsi="Times New Roman"/>
          <w:sz w:val="20"/>
          <w:szCs w:val="20"/>
          <w:lang w:val="en-US"/>
        </w:rPr>
        <w:t>each (“</w:t>
      </w:r>
      <w:r w:rsidRPr="009A5A44">
        <w:rPr>
          <w:rFonts w:ascii="Times New Roman" w:hAnsi="Times New Roman"/>
          <w:b/>
          <w:bCs/>
          <w:sz w:val="20"/>
          <w:szCs w:val="20"/>
          <w:lang w:val="en-US"/>
        </w:rPr>
        <w:t>Equity Shares</w:t>
      </w:r>
      <w:r w:rsidRPr="00092533">
        <w:rPr>
          <w:rFonts w:ascii="Times New Roman" w:hAnsi="Times New Roman"/>
          <w:sz w:val="20"/>
          <w:szCs w:val="20"/>
          <w:lang w:val="en-US"/>
        </w:rPr>
        <w:t>”) of the Company (“</w:t>
      </w:r>
      <w:r w:rsidR="00FF0CEF">
        <w:rPr>
          <w:rFonts w:ascii="Times New Roman" w:hAnsi="Times New Roman"/>
          <w:b/>
          <w:bCs/>
          <w:sz w:val="20"/>
          <w:szCs w:val="20"/>
          <w:lang w:val="en-US"/>
        </w:rPr>
        <w:t>Issue</w:t>
      </w:r>
      <w:r w:rsidRPr="00092533">
        <w:rPr>
          <w:rFonts w:ascii="Times New Roman" w:hAnsi="Times New Roman"/>
          <w:sz w:val="20"/>
          <w:szCs w:val="20"/>
          <w:lang w:val="en-US"/>
        </w:rPr>
        <w:t>”).</w:t>
      </w:r>
      <w:r w:rsidR="005B636B">
        <w:rPr>
          <w:rFonts w:ascii="Times New Roman" w:hAnsi="Times New Roman"/>
          <w:sz w:val="20"/>
          <w:szCs w:val="20"/>
          <w:lang w:val="en-US"/>
        </w:rPr>
        <w:t xml:space="preserve"> T</w:t>
      </w:r>
      <w:r w:rsidR="005B636B" w:rsidRPr="005B636B">
        <w:rPr>
          <w:rFonts w:ascii="Times New Roman" w:hAnsi="Times New Roman"/>
          <w:sz w:val="20"/>
          <w:szCs w:val="20"/>
          <w:lang w:val="en-US"/>
        </w:rPr>
        <w:t>he Company is proposing, subject to receipt of requisite approvals, market conditions and other considerations, to make an initial public offering of its Equity Shares and has filed a</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draft red herring prospectus dated </w:t>
      </w:r>
      <w:r w:rsidR="002D6F7B">
        <w:rPr>
          <w:rFonts w:ascii="Times New Roman" w:hAnsi="Times New Roman"/>
          <w:sz w:val="20"/>
          <w:szCs w:val="20"/>
          <w:lang w:val="en-US"/>
        </w:rPr>
        <w:t>October 30, 2024</w:t>
      </w:r>
      <w:r w:rsidR="002D6F7B" w:rsidRPr="005B636B">
        <w:rPr>
          <w:rFonts w:ascii="Times New Roman" w:hAnsi="Times New Roman"/>
          <w:sz w:val="20"/>
          <w:szCs w:val="20"/>
          <w:lang w:val="en-US"/>
        </w:rPr>
        <w:t xml:space="preserve"> </w:t>
      </w:r>
      <w:r w:rsidR="005B636B" w:rsidRPr="005B636B">
        <w:rPr>
          <w:rFonts w:ascii="Times New Roman" w:hAnsi="Times New Roman"/>
          <w:sz w:val="20"/>
          <w:szCs w:val="20"/>
          <w:lang w:val="en-US"/>
        </w:rPr>
        <w:t>(“</w:t>
      </w:r>
      <w:r w:rsidR="005B636B" w:rsidRPr="005B636B">
        <w:rPr>
          <w:rFonts w:ascii="Times New Roman" w:hAnsi="Times New Roman"/>
          <w:b/>
          <w:bCs/>
          <w:sz w:val="20"/>
          <w:szCs w:val="20"/>
          <w:lang w:val="en-US"/>
        </w:rPr>
        <w:t>DRHP</w:t>
      </w:r>
      <w:r w:rsidR="005B636B" w:rsidRPr="005B636B">
        <w:rPr>
          <w:rFonts w:ascii="Times New Roman" w:hAnsi="Times New Roman"/>
          <w:sz w:val="20"/>
          <w:szCs w:val="20"/>
          <w:lang w:val="en-US"/>
        </w:rPr>
        <w:t>”) with the Securities and Exchange Board of India (“</w:t>
      </w:r>
      <w:r w:rsidR="005B636B" w:rsidRPr="005B636B">
        <w:rPr>
          <w:rFonts w:ascii="Times New Roman" w:hAnsi="Times New Roman"/>
          <w:b/>
          <w:bCs/>
          <w:sz w:val="20"/>
          <w:szCs w:val="20"/>
          <w:lang w:val="en-US"/>
        </w:rPr>
        <w:t>SEBI</w:t>
      </w:r>
      <w:r w:rsidR="005B636B" w:rsidRPr="005B636B">
        <w:rPr>
          <w:rFonts w:ascii="Times New Roman" w:hAnsi="Times New Roman"/>
          <w:sz w:val="20"/>
          <w:szCs w:val="20"/>
          <w:lang w:val="en-US"/>
        </w:rPr>
        <w:t>”), the BSE Limited and the National Stock Exchange of India Limited (“</w:t>
      </w:r>
      <w:r w:rsidR="005B636B" w:rsidRPr="005B636B">
        <w:rPr>
          <w:rFonts w:ascii="Times New Roman" w:hAnsi="Times New Roman"/>
          <w:b/>
          <w:bCs/>
          <w:sz w:val="20"/>
          <w:szCs w:val="20"/>
          <w:lang w:val="en-US"/>
        </w:rPr>
        <w:t>Stock Exchanges</w:t>
      </w:r>
      <w:r w:rsidR="005B636B" w:rsidRPr="005B636B">
        <w:rPr>
          <w:rFonts w:ascii="Times New Roman" w:hAnsi="Times New Roman"/>
          <w:sz w:val="20"/>
          <w:szCs w:val="20"/>
          <w:lang w:val="en-US"/>
        </w:rPr>
        <w:t>”).</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The DRHP is available on the website of SEBI at www.sebi.gov.in, as well as on the websites of the Stock Exchanges i.e. BSE and NSE at www.bseindia.com and www.nseindia.com, respectively, on the website of the Company at</w:t>
      </w:r>
      <w:r w:rsidR="002D6F7B">
        <w:rPr>
          <w:rFonts w:ascii="Times New Roman" w:hAnsi="Times New Roman"/>
          <w:sz w:val="20"/>
          <w:szCs w:val="20"/>
          <w:lang w:val="en-US"/>
        </w:rPr>
        <w:t xml:space="preserve"> </w:t>
      </w:r>
      <w:r w:rsidR="002D6F7B" w:rsidRPr="002D6F7B">
        <w:rPr>
          <w:rFonts w:ascii="Times New Roman" w:hAnsi="Times New Roman"/>
          <w:sz w:val="20"/>
          <w:szCs w:val="20"/>
          <w:lang w:val="en-US"/>
        </w:rPr>
        <w:t>www.hdbfs.com</w:t>
      </w:r>
      <w:r w:rsidR="002D6F7B" w:rsidRPr="002D6F7B" w:rsidDel="002D6F7B">
        <w:rPr>
          <w:rFonts w:ascii="Times New Roman" w:hAnsi="Times New Roman"/>
          <w:sz w:val="20"/>
          <w:szCs w:val="20"/>
          <w:lang w:val="en-US"/>
        </w:rPr>
        <w:t xml:space="preserve"> </w:t>
      </w:r>
      <w:r w:rsidR="005B636B" w:rsidRPr="005B636B">
        <w:rPr>
          <w:rFonts w:ascii="Times New Roman" w:hAnsi="Times New Roman"/>
          <w:sz w:val="20"/>
          <w:szCs w:val="20"/>
          <w:lang w:val="en-US"/>
        </w:rPr>
        <w:t>; and on the website of the BRLM</w:t>
      </w:r>
      <w:r w:rsidR="005B636B">
        <w:rPr>
          <w:rFonts w:ascii="Times New Roman" w:hAnsi="Times New Roman"/>
          <w:sz w:val="20"/>
          <w:szCs w:val="20"/>
          <w:lang w:val="en-US"/>
        </w:rPr>
        <w:t>s</w:t>
      </w:r>
      <w:r w:rsidR="005B636B" w:rsidRPr="005B636B">
        <w:rPr>
          <w:rFonts w:ascii="Times New Roman" w:hAnsi="Times New Roman"/>
          <w:sz w:val="20"/>
          <w:szCs w:val="20"/>
          <w:lang w:val="en-US"/>
        </w:rPr>
        <w:t xml:space="preserve">, i.e. </w:t>
      </w:r>
      <w:r w:rsidR="00C16DCF">
        <w:rPr>
          <w:rFonts w:ascii="Times New Roman" w:hAnsi="Times New Roman"/>
          <w:sz w:val="20"/>
          <w:szCs w:val="20"/>
          <w:lang w:val="en-US"/>
        </w:rPr>
        <w:t>-</w:t>
      </w:r>
      <w:r w:rsidR="005B636B">
        <w:rPr>
          <w:rFonts w:ascii="Times New Roman" w:hAnsi="Times New Roman"/>
          <w:sz w:val="20"/>
          <w:szCs w:val="20"/>
          <w:lang w:val="en-US"/>
        </w:rPr>
        <w:t xml:space="preserve"> </w:t>
      </w:r>
      <w:r w:rsidR="002D6F7B" w:rsidRPr="002D6F7B">
        <w:rPr>
          <w:rFonts w:ascii="Times New Roman" w:hAnsi="Times New Roman"/>
          <w:sz w:val="20"/>
          <w:szCs w:val="20"/>
          <w:lang w:val="en-US"/>
        </w:rPr>
        <w:t xml:space="preserve">JM Financial Limited, BNP Paribas, </w:t>
      </w:r>
      <w:proofErr w:type="spellStart"/>
      <w:r w:rsidR="002D6F7B" w:rsidRPr="002D6F7B">
        <w:rPr>
          <w:rFonts w:ascii="Times New Roman" w:hAnsi="Times New Roman"/>
          <w:sz w:val="20"/>
          <w:szCs w:val="20"/>
          <w:lang w:val="en-US"/>
        </w:rPr>
        <w:t>BofA</w:t>
      </w:r>
      <w:proofErr w:type="spellEnd"/>
      <w:r w:rsidR="002D6F7B" w:rsidRPr="002D6F7B">
        <w:rPr>
          <w:rFonts w:ascii="Times New Roman" w:hAnsi="Times New Roman"/>
          <w:sz w:val="20"/>
          <w:szCs w:val="20"/>
          <w:lang w:val="en-US"/>
        </w:rPr>
        <w:t xml:space="preserve"> Securities India Limited, </w:t>
      </w:r>
      <w:r w:rsidR="00565E94" w:rsidRPr="002D6F7B">
        <w:rPr>
          <w:rFonts w:ascii="Times New Roman" w:hAnsi="Times New Roman"/>
          <w:sz w:val="20"/>
          <w:szCs w:val="20"/>
          <w:lang w:val="en-US"/>
        </w:rPr>
        <w:t xml:space="preserve">, Goldman </w:t>
      </w:r>
      <w:r w:rsidR="00565E94">
        <w:rPr>
          <w:rFonts w:ascii="Times New Roman" w:hAnsi="Times New Roman"/>
          <w:sz w:val="20"/>
          <w:szCs w:val="20"/>
          <w:lang w:val="en-US"/>
        </w:rPr>
        <w:t xml:space="preserve">Sachs </w:t>
      </w:r>
      <w:r w:rsidR="00565E94" w:rsidRPr="002D6F7B">
        <w:rPr>
          <w:rFonts w:ascii="Times New Roman" w:hAnsi="Times New Roman"/>
          <w:sz w:val="20"/>
          <w:szCs w:val="20"/>
          <w:lang w:val="en-US"/>
        </w:rPr>
        <w:t xml:space="preserve">India </w:t>
      </w:r>
      <w:bookmarkStart w:id="0" w:name="_GoBack"/>
      <w:bookmarkEnd w:id="0"/>
      <w:r w:rsidR="002D6F7B" w:rsidRPr="002D6F7B">
        <w:rPr>
          <w:rFonts w:ascii="Times New Roman" w:hAnsi="Times New Roman"/>
          <w:sz w:val="20"/>
          <w:szCs w:val="20"/>
          <w:lang w:val="en-US"/>
        </w:rPr>
        <w:t xml:space="preserve">(Securities) Private Limited, HSBC Securities and Capital Markets (India) Private Limited, IIFL Securities Limited, Jefferies India Private Limited, Morgan Stanley India Company Private Limited, Motilal </w:t>
      </w:r>
      <w:proofErr w:type="spellStart"/>
      <w:r w:rsidR="002D6F7B" w:rsidRPr="002D6F7B">
        <w:rPr>
          <w:rFonts w:ascii="Times New Roman" w:hAnsi="Times New Roman"/>
          <w:sz w:val="20"/>
          <w:szCs w:val="20"/>
          <w:lang w:val="en-US"/>
        </w:rPr>
        <w:t>Oswal</w:t>
      </w:r>
      <w:proofErr w:type="spellEnd"/>
      <w:r w:rsidR="002D6F7B" w:rsidRPr="002D6F7B">
        <w:rPr>
          <w:rFonts w:ascii="Times New Roman" w:hAnsi="Times New Roman"/>
          <w:sz w:val="20"/>
          <w:szCs w:val="20"/>
          <w:lang w:val="en-US"/>
        </w:rPr>
        <w:t xml:space="preserve"> Investment Advisors Limited, Nomura Financial Advisory and Securities (India) Private Limited, </w:t>
      </w:r>
      <w:proofErr w:type="spellStart"/>
      <w:r w:rsidR="002D6F7B" w:rsidRPr="002D6F7B">
        <w:rPr>
          <w:rFonts w:ascii="Times New Roman" w:hAnsi="Times New Roman"/>
          <w:sz w:val="20"/>
          <w:szCs w:val="20"/>
          <w:lang w:val="en-US"/>
        </w:rPr>
        <w:t>Nuvama</w:t>
      </w:r>
      <w:proofErr w:type="spellEnd"/>
      <w:r w:rsidR="002D6F7B" w:rsidRPr="002D6F7B">
        <w:rPr>
          <w:rFonts w:ascii="Times New Roman" w:hAnsi="Times New Roman"/>
          <w:sz w:val="20"/>
          <w:szCs w:val="20"/>
          <w:lang w:val="en-US"/>
        </w:rPr>
        <w:t xml:space="preserve"> Wealth Management Limited and UBS Securities India Private Limited at www.jmfl.com, www.bnpparibas.co.in, http://www.ml-india.com, http://www.goldmansachs.com/, https://www.business.hsbc.co.in/engb/regulations/hsbc-securities-and-capital-market, http://www.iiflcap.com, www.jefferies.com, www.morganstanley.com/india, http://www.motilaloswalgroup.com, www.nomuraholdings.com/company/group/asia/india/index.html, www.nuvama.com and http://www.ubs.com/indiaoffers</w:t>
      </w:r>
      <w:r w:rsidR="005B636B">
        <w:rPr>
          <w:rFonts w:ascii="Times New Roman" w:hAnsi="Times New Roman"/>
          <w:sz w:val="20"/>
          <w:szCs w:val="20"/>
          <w:lang w:val="en-US"/>
        </w:rPr>
        <w:t>,</w:t>
      </w:r>
      <w:r w:rsidR="005B636B" w:rsidRPr="005B636B">
        <w:rPr>
          <w:rFonts w:ascii="Times New Roman" w:hAnsi="Times New Roman"/>
          <w:sz w:val="20"/>
          <w:szCs w:val="20"/>
          <w:lang w:val="en-US"/>
        </w:rPr>
        <w:t xml:space="preserve"> respectively.</w:t>
      </w:r>
    </w:p>
    <w:p w14:paraId="2D91641C" w14:textId="77777777" w:rsidR="00E56208" w:rsidRPr="002B3E9E" w:rsidRDefault="00E56208" w:rsidP="00E56208">
      <w:pPr>
        <w:pStyle w:val="Body1"/>
        <w:spacing w:after="0"/>
        <w:rPr>
          <w:rFonts w:ascii="Times New Roman" w:hAnsi="Times New Roman"/>
          <w:sz w:val="20"/>
          <w:szCs w:val="20"/>
          <w:lang w:val="en-US"/>
        </w:rPr>
      </w:pPr>
    </w:p>
    <w:p w14:paraId="2D9E3754" w14:textId="24AE83D5"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IPO AV IS BEING MADE AVAILABLE ON THIS WEBSITE IN ACCORDANCE WITH CIRCULAR ON “AUDIOVISUAL (AV) PRESENTATION OF DISCLOSURES MADE IN PUBLIC ISSUE OFFER DOCUMENTS” DATED MAY 24, 2024, ISSUED BY THE SECURITIES AND EXCHANGE BOARD OF INDIA. You are advised to read this disclaimer carefully before reading, accessing or making any other use of the IPO AV. In accessing the IPO AV, you agree to be bound by the following terms and conditions, including any modifications to them from time to time. </w:t>
      </w:r>
      <w:r w:rsidR="00111122">
        <w:rPr>
          <w:rFonts w:ascii="Times New Roman" w:hAnsi="Times New Roman"/>
          <w:sz w:val="20"/>
          <w:szCs w:val="20"/>
          <w:lang w:val="en-US"/>
        </w:rPr>
        <w:t xml:space="preserve">The </w:t>
      </w:r>
      <w:r w:rsidRPr="002B3E9E">
        <w:rPr>
          <w:rFonts w:ascii="Times New Roman" w:hAnsi="Times New Roman"/>
          <w:sz w:val="20"/>
          <w:szCs w:val="20"/>
          <w:lang w:val="en-US"/>
        </w:rPr>
        <w:t>IPO AV is directed at, and is intended for distribution to, and use by, residents of India only. The information in th</w:t>
      </w:r>
      <w:r w:rsidR="00111122">
        <w:rPr>
          <w:rFonts w:ascii="Times New Roman" w:hAnsi="Times New Roman"/>
          <w:sz w:val="20"/>
          <w:szCs w:val="20"/>
          <w:lang w:val="en-US"/>
        </w:rPr>
        <w:t>e</w:t>
      </w:r>
      <w:r w:rsidRPr="002B3E9E">
        <w:rPr>
          <w:rFonts w:ascii="Times New Roman" w:hAnsi="Times New Roman"/>
          <w:sz w:val="20"/>
          <w:szCs w:val="20"/>
          <w:lang w:val="en-US"/>
        </w:rPr>
        <w:t xml:space="preserve">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9A5A44">
        <w:rPr>
          <w:rFonts w:ascii="Times New Roman" w:hAnsi="Times New Roman"/>
          <w:b/>
          <w:bCs/>
          <w:sz w:val="20"/>
          <w:szCs w:val="20"/>
          <w:lang w:val="en-US"/>
        </w:rPr>
        <w:t>United States</w:t>
      </w:r>
      <w:r w:rsidRPr="002B3E9E">
        <w:rPr>
          <w:rFonts w:ascii="Times New Roman" w:hAnsi="Times New Roman"/>
          <w:sz w:val="20"/>
          <w:szCs w:val="20"/>
          <w:lang w:val="en-US"/>
        </w:rPr>
        <w:t>”) or any other jurisdiction where it is unlawful to do so. All persons residing outside of the United States who wish to access the IPO AV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IPO AV shall be copied or duplicated in any form by any means or redistributed.</w:t>
      </w:r>
    </w:p>
    <w:p w14:paraId="29BD6AFB" w14:textId="77777777" w:rsidR="00E56208" w:rsidRPr="002B3E9E" w:rsidRDefault="00E56208" w:rsidP="00E56208">
      <w:pPr>
        <w:pStyle w:val="Body1"/>
        <w:spacing w:after="0"/>
        <w:rPr>
          <w:rFonts w:ascii="Times New Roman" w:hAnsi="Times New Roman"/>
          <w:sz w:val="20"/>
          <w:szCs w:val="20"/>
          <w:lang w:val="en-US"/>
        </w:rPr>
      </w:pPr>
    </w:p>
    <w:p w14:paraId="5E9293AA" w14:textId="4A355D78"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r w:rsidR="00111122">
        <w:rPr>
          <w:rFonts w:ascii="Times New Roman" w:hAnsi="Times New Roman"/>
          <w:sz w:val="20"/>
          <w:szCs w:val="20"/>
          <w:lang w:val="en-US"/>
        </w:rPr>
        <w:t xml:space="preserve"> </w:t>
      </w:r>
      <w:r w:rsidRPr="002B3E9E">
        <w:rPr>
          <w:rFonts w:ascii="Times New Roman" w:hAnsi="Times New Roman"/>
          <w:sz w:val="20"/>
          <w:szCs w:val="20"/>
          <w:lang w:val="en-US"/>
        </w:rPr>
        <w:t>The Equity Shares have not been and will not be registered under the United States Securities Act of 1933, as amended (the “</w:t>
      </w:r>
      <w:r w:rsidRPr="005B636B">
        <w:rPr>
          <w:rFonts w:ascii="Times New Roman" w:hAnsi="Times New Roman"/>
          <w:b/>
          <w:bCs/>
          <w:sz w:val="20"/>
          <w:szCs w:val="20"/>
          <w:lang w:val="en-US"/>
        </w:rPr>
        <w:t>U.S. Securities Act</w:t>
      </w:r>
      <w:proofErr w:type="gramStart"/>
      <w:r w:rsidRPr="002B3E9E">
        <w:rPr>
          <w:rFonts w:ascii="Times New Roman" w:hAnsi="Times New Roman"/>
          <w:sz w:val="20"/>
          <w:szCs w:val="20"/>
          <w:lang w:val="en-US"/>
        </w:rPr>
        <w:t>” )</w:t>
      </w:r>
      <w:proofErr w:type="gramEnd"/>
      <w:r w:rsidRPr="002B3E9E">
        <w:rPr>
          <w:rFonts w:ascii="Times New Roman" w:hAnsi="Times New Roman"/>
          <w:sz w:val="20"/>
          <w:szCs w:val="20"/>
          <w:lang w:val="en-US"/>
        </w:rPr>
        <w:t xml:space="preserve"> or any other applicable law of the United States and may not be offered or sold within the United States except pursuant to an exemption from, or in a transaction not subject to, the registration requirements of the U.S. Securities Act and applicable United States state securities laws. Accordingly, the Equity Shares are being offered and sold only</w:t>
      </w:r>
      <w:r w:rsidR="00CB747D">
        <w:rPr>
          <w:rFonts w:ascii="Times New Roman" w:hAnsi="Times New Roman"/>
          <w:sz w:val="20"/>
          <w:szCs w:val="20"/>
          <w:lang w:val="en-US"/>
        </w:rPr>
        <w:t xml:space="preserve"> </w:t>
      </w:r>
      <w:r w:rsidR="00CB747D" w:rsidRPr="00CB747D">
        <w:rPr>
          <w:rFonts w:ascii="Times New Roman" w:hAnsi="Times New Roman"/>
          <w:sz w:val="20"/>
          <w:szCs w:val="20"/>
          <w:lang w:val="en-US"/>
        </w:rPr>
        <w:t>(i) within the United States to persons reasonably believed to be “qualified institutional buyers” as defined in Rule 144A (“</w:t>
      </w:r>
      <w:r w:rsidR="00CB747D" w:rsidRPr="00CB747D">
        <w:rPr>
          <w:rFonts w:ascii="Times New Roman" w:hAnsi="Times New Roman"/>
          <w:b/>
          <w:bCs/>
          <w:sz w:val="20"/>
          <w:szCs w:val="20"/>
          <w:lang w:val="en-US"/>
        </w:rPr>
        <w:t>Rule 144A</w:t>
      </w:r>
      <w:r w:rsidR="00CB747D" w:rsidRPr="00CB747D">
        <w:rPr>
          <w:rFonts w:ascii="Times New Roman" w:hAnsi="Times New Roman"/>
          <w:sz w:val="20"/>
          <w:szCs w:val="20"/>
          <w:lang w:val="en-US"/>
        </w:rPr>
        <w:t>”) under the U.S. Securities Act in transactions exempt from or not subject to the registration requirements of the U.S. Securities Act in reliance on Rule 144A,</w:t>
      </w:r>
      <w:r w:rsidRPr="002B3E9E">
        <w:rPr>
          <w:rFonts w:ascii="Times New Roman" w:hAnsi="Times New Roman"/>
          <w:sz w:val="20"/>
          <w:szCs w:val="20"/>
          <w:lang w:val="en-US"/>
        </w:rPr>
        <w:t xml:space="preserve"> (i</w:t>
      </w:r>
      <w:r w:rsidR="00CB747D">
        <w:rPr>
          <w:rFonts w:ascii="Times New Roman" w:hAnsi="Times New Roman"/>
          <w:sz w:val="20"/>
          <w:szCs w:val="20"/>
          <w:lang w:val="en-US"/>
        </w:rPr>
        <w:t>i</w:t>
      </w:r>
      <w:r w:rsidRPr="002B3E9E">
        <w:rPr>
          <w:rFonts w:ascii="Times New Roman" w:hAnsi="Times New Roman"/>
          <w:sz w:val="20"/>
          <w:szCs w:val="20"/>
          <w:lang w:val="en-US"/>
        </w:rPr>
        <w:t>) within India, to Indian institutional, non-institutional and retail investors in compliance with the SEBI ICDR Regulations, and (ii</w:t>
      </w:r>
      <w:r w:rsidR="00CB747D">
        <w:rPr>
          <w:rFonts w:ascii="Times New Roman" w:hAnsi="Times New Roman"/>
          <w:sz w:val="20"/>
          <w:szCs w:val="20"/>
          <w:lang w:val="en-US"/>
        </w:rPr>
        <w:t>i</w:t>
      </w:r>
      <w:r w:rsidRPr="002B3E9E">
        <w:rPr>
          <w:rFonts w:ascii="Times New Roman" w:hAnsi="Times New Roman"/>
          <w:sz w:val="20"/>
          <w:szCs w:val="20"/>
          <w:lang w:val="en-US"/>
        </w:rPr>
        <w:t xml:space="preserve">) </w:t>
      </w:r>
      <w:r w:rsidRPr="002B3E9E">
        <w:rPr>
          <w:rFonts w:ascii="Times New Roman" w:hAnsi="Times New Roman"/>
          <w:sz w:val="20"/>
          <w:szCs w:val="20"/>
          <w:lang w:val="en-US"/>
        </w:rPr>
        <w:lastRenderedPageBreak/>
        <w:t>outside the United States to eligible investors in “offshore transactions” as defined in, and in reliance on, Regulation S (“</w:t>
      </w:r>
      <w:r w:rsidRPr="009A5A44">
        <w:rPr>
          <w:rFonts w:ascii="Times New Roman" w:hAnsi="Times New Roman"/>
          <w:b/>
          <w:bCs/>
          <w:sz w:val="20"/>
          <w:szCs w:val="20"/>
          <w:lang w:val="en-US"/>
        </w:rPr>
        <w:t>Regulation S</w:t>
      </w:r>
      <w:r w:rsidRPr="002B3E9E">
        <w:rPr>
          <w:rFonts w:ascii="Times New Roman" w:hAnsi="Times New Roman"/>
          <w:sz w:val="20"/>
          <w:szCs w:val="20"/>
          <w:lang w:val="en-US"/>
        </w:rPr>
        <w:t>”) under the U.S. Securities Act and the applicable laws of the jurisdiction where those offers and sales occur. No public offering of the Equity Shares or other securities is being made in the United States.</w:t>
      </w:r>
    </w:p>
    <w:p w14:paraId="4F42F721" w14:textId="77777777" w:rsidR="00E56208" w:rsidRPr="002B3E9E" w:rsidRDefault="00E56208" w:rsidP="00E56208">
      <w:pPr>
        <w:pStyle w:val="Body1"/>
        <w:spacing w:after="0"/>
        <w:rPr>
          <w:rFonts w:ascii="Times New Roman" w:hAnsi="Times New Roman"/>
          <w:sz w:val="20"/>
          <w:szCs w:val="20"/>
          <w:lang w:val="en-US"/>
        </w:rPr>
      </w:pPr>
    </w:p>
    <w:p w14:paraId="570F91EA" w14:textId="1F97A446"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 IPO AV does not constitute, and should not be construed as, “general solicitation” or “general advertising” as defined under Regulation D of the U.S. Securities Act, or “directed selling efforts” under Regulation S.</w:t>
      </w:r>
    </w:p>
    <w:p w14:paraId="0B5DB18D" w14:textId="77777777" w:rsidR="00E56208" w:rsidRPr="002B3E9E" w:rsidRDefault="00E56208" w:rsidP="00E56208">
      <w:pPr>
        <w:pStyle w:val="Body1"/>
        <w:spacing w:after="0"/>
        <w:rPr>
          <w:rFonts w:ascii="Times New Roman" w:hAnsi="Times New Roman"/>
          <w:sz w:val="20"/>
          <w:szCs w:val="20"/>
          <w:lang w:val="en-US"/>
        </w:rPr>
      </w:pPr>
    </w:p>
    <w:p w14:paraId="23AADBC1" w14:textId="46D1E276" w:rsidR="00E56208"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Company, and </w:t>
      </w:r>
      <w:r w:rsidR="002D6F7B" w:rsidRPr="002D6F7B">
        <w:rPr>
          <w:rFonts w:ascii="Times New Roman" w:hAnsi="Times New Roman"/>
          <w:sz w:val="20"/>
          <w:szCs w:val="20"/>
          <w:lang w:val="en-IN"/>
        </w:rPr>
        <w:t xml:space="preserve">JM Financial Limited, BNP Paribas, </w:t>
      </w:r>
      <w:proofErr w:type="spellStart"/>
      <w:r w:rsidR="002D6F7B" w:rsidRPr="002D6F7B">
        <w:rPr>
          <w:rFonts w:ascii="Times New Roman" w:hAnsi="Times New Roman"/>
          <w:sz w:val="20"/>
          <w:szCs w:val="20"/>
          <w:lang w:val="en-IN"/>
        </w:rPr>
        <w:t>BofA</w:t>
      </w:r>
      <w:proofErr w:type="spellEnd"/>
      <w:r w:rsidR="002D6F7B" w:rsidRPr="002D6F7B">
        <w:rPr>
          <w:rFonts w:ascii="Times New Roman" w:hAnsi="Times New Roman"/>
          <w:sz w:val="20"/>
          <w:szCs w:val="20"/>
          <w:lang w:val="en-IN"/>
        </w:rPr>
        <w:t xml:space="preserve"> Securities India Limited, Goldman Sachs (India) Securities Private Limited, HSBC Securities and Capital Markets (India)Private Limited, IIFL Securities Limited, Jefferies India Private Limited, Morgan Stanley India Company Private Limited, Motilal </w:t>
      </w:r>
      <w:proofErr w:type="spellStart"/>
      <w:r w:rsidR="002D6F7B" w:rsidRPr="002D6F7B">
        <w:rPr>
          <w:rFonts w:ascii="Times New Roman" w:hAnsi="Times New Roman"/>
          <w:sz w:val="20"/>
          <w:szCs w:val="20"/>
          <w:lang w:val="en-IN"/>
        </w:rPr>
        <w:t>Oswal</w:t>
      </w:r>
      <w:proofErr w:type="spellEnd"/>
      <w:r w:rsidR="002D6F7B" w:rsidRPr="002D6F7B">
        <w:rPr>
          <w:rFonts w:ascii="Times New Roman" w:hAnsi="Times New Roman"/>
          <w:sz w:val="20"/>
          <w:szCs w:val="20"/>
          <w:lang w:val="en-IN"/>
        </w:rPr>
        <w:t xml:space="preserve"> Investment Advisors Limited, Nomura Financial Advisory and Securities (India) Private Limited, </w:t>
      </w:r>
      <w:proofErr w:type="spellStart"/>
      <w:r w:rsidR="002D6F7B" w:rsidRPr="002D6F7B">
        <w:rPr>
          <w:rFonts w:ascii="Times New Roman" w:hAnsi="Times New Roman"/>
          <w:sz w:val="20"/>
          <w:szCs w:val="20"/>
          <w:lang w:val="en-IN"/>
        </w:rPr>
        <w:t>Nuvama</w:t>
      </w:r>
      <w:proofErr w:type="spellEnd"/>
      <w:r w:rsidR="002D6F7B" w:rsidRPr="002D6F7B">
        <w:rPr>
          <w:rFonts w:ascii="Times New Roman" w:hAnsi="Times New Roman"/>
          <w:sz w:val="20"/>
          <w:szCs w:val="20"/>
          <w:lang w:val="en-IN"/>
        </w:rPr>
        <w:t xml:space="preserve"> Wealth Management Limited and UBS Securities India Private Limited</w:t>
      </w:r>
      <w:r w:rsidR="00C16DCF">
        <w:rPr>
          <w:rFonts w:ascii="Times New Roman" w:hAnsi="Times New Roman"/>
          <w:sz w:val="20"/>
          <w:szCs w:val="20"/>
          <w:lang w:val="en-US"/>
        </w:rPr>
        <w:t xml:space="preserve"> </w:t>
      </w:r>
      <w:r w:rsidRPr="002B3E9E">
        <w:rPr>
          <w:rFonts w:ascii="Times New Roman" w:hAnsi="Times New Roman"/>
          <w:sz w:val="20"/>
          <w:szCs w:val="20"/>
          <w:lang w:val="en-US"/>
        </w:rPr>
        <w:t>(collectively, the “</w:t>
      </w:r>
      <w:r w:rsidRPr="009A5A44">
        <w:rPr>
          <w:rFonts w:ascii="Times New Roman" w:hAnsi="Times New Roman"/>
          <w:b/>
          <w:bCs/>
          <w:sz w:val="20"/>
          <w:szCs w:val="20"/>
          <w:lang w:val="en-US"/>
        </w:rPr>
        <w:t>Book Running Lead Managers</w:t>
      </w:r>
      <w:r w:rsidRPr="002B3E9E">
        <w:rPr>
          <w:rFonts w:ascii="Times New Roman" w:hAnsi="Times New Roman"/>
          <w:sz w:val="20"/>
          <w:szCs w:val="20"/>
          <w:lang w:val="en-US"/>
        </w:rPr>
        <w:t>”) and their respective affiliates, directors, officers, agents, representatives, advisers and employees do not accept any liability whatsoever, direct or indirect, that may arise from the use of the information contained on this website. The information in the IPO AV is as of the date thereof and neither the Company,</w:t>
      </w:r>
      <w:r w:rsidR="003443D5">
        <w:rPr>
          <w:rFonts w:ascii="Times New Roman" w:hAnsi="Times New Roman"/>
          <w:sz w:val="20"/>
          <w:szCs w:val="20"/>
          <w:lang w:val="en-US"/>
        </w:rPr>
        <w:t xml:space="preserve"> </w:t>
      </w:r>
      <w:r w:rsidR="00D70947">
        <w:rPr>
          <w:rFonts w:ascii="Times New Roman" w:hAnsi="Times New Roman"/>
          <w:sz w:val="20"/>
          <w:szCs w:val="20"/>
          <w:lang w:val="en-US"/>
        </w:rPr>
        <w:t xml:space="preserve">the </w:t>
      </w:r>
      <w:r w:rsidR="003443D5">
        <w:rPr>
          <w:rFonts w:ascii="Times New Roman" w:hAnsi="Times New Roman"/>
          <w:sz w:val="20"/>
          <w:szCs w:val="20"/>
          <w:lang w:val="en-US"/>
        </w:rPr>
        <w:t xml:space="preserve">Promoter, </w:t>
      </w:r>
      <w:r w:rsidRPr="002B3E9E">
        <w:rPr>
          <w:rFonts w:ascii="Times New Roman" w:hAnsi="Times New Roman"/>
          <w:sz w:val="20"/>
          <w:szCs w:val="20"/>
          <w:lang w:val="en-US"/>
        </w:rPr>
        <w:t>the Book Running Lead Managers nor their respective affiliates, directors, officers, agents, representatives, advisers or employees are under any obligation to update or revise the IPO AV 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05F0DABE" w14:textId="77777777" w:rsidR="000D6101" w:rsidRDefault="000D6101" w:rsidP="00E56208">
      <w:pPr>
        <w:pStyle w:val="Body1"/>
        <w:spacing w:after="0"/>
        <w:rPr>
          <w:rFonts w:ascii="Times New Roman" w:hAnsi="Times New Roman"/>
          <w:sz w:val="20"/>
          <w:szCs w:val="20"/>
          <w:lang w:val="en-US"/>
        </w:rPr>
      </w:pPr>
    </w:p>
    <w:p w14:paraId="66B8C133" w14:textId="4FACAD9A" w:rsidR="000D6101" w:rsidRPr="002B3E9E" w:rsidRDefault="000D6101" w:rsidP="00E56208">
      <w:pPr>
        <w:pStyle w:val="Body1"/>
        <w:spacing w:after="0"/>
        <w:rPr>
          <w:rFonts w:ascii="Times New Roman" w:hAnsi="Times New Roman"/>
          <w:sz w:val="20"/>
          <w:szCs w:val="20"/>
          <w:lang w:val="en-US"/>
        </w:rPr>
      </w:pPr>
      <w:r w:rsidRPr="00E3576D">
        <w:rPr>
          <w:rFonts w:ascii="Times New Roman" w:hAnsi="Times New Roman"/>
          <w:sz w:val="20"/>
          <w:szCs w:val="20"/>
        </w:rPr>
        <w:t xml:space="preserve">Investors are advised not to rely on any other document, content or information provided in respect to the </w:t>
      </w:r>
      <w:r w:rsidR="00350F94">
        <w:rPr>
          <w:rFonts w:ascii="Times New Roman" w:hAnsi="Times New Roman"/>
          <w:sz w:val="20"/>
          <w:szCs w:val="20"/>
        </w:rPr>
        <w:t>I</w:t>
      </w:r>
      <w:r w:rsidRPr="00E3576D">
        <w:rPr>
          <w:rFonts w:ascii="Times New Roman" w:hAnsi="Times New Roman"/>
          <w:sz w:val="20"/>
          <w:szCs w:val="20"/>
        </w:rPr>
        <w:t>ssue on the internet/ online websites/ social media platforms/ micro-blogging platforms and by influencers/</w:t>
      </w:r>
      <w:proofErr w:type="spellStart"/>
      <w:r w:rsidRPr="00E3576D">
        <w:rPr>
          <w:rFonts w:ascii="Times New Roman" w:hAnsi="Times New Roman"/>
          <w:sz w:val="20"/>
          <w:szCs w:val="20"/>
        </w:rPr>
        <w:t>finfluencers</w:t>
      </w:r>
      <w:proofErr w:type="spellEnd"/>
      <w:r w:rsidRPr="00E3576D">
        <w:rPr>
          <w:rFonts w:ascii="Times New Roman" w:hAnsi="Times New Roman"/>
          <w:sz w:val="20"/>
          <w:szCs w:val="20"/>
        </w:rPr>
        <w:t xml:space="preserve"> since the same is not authorized/ approved/ commissioned/ paid by the Company or its Promoter/Directors/KMPs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w:t>
      </w:r>
    </w:p>
    <w:p w14:paraId="30F6256D" w14:textId="77777777" w:rsidR="00E56208" w:rsidRPr="002B3E9E" w:rsidRDefault="00E56208" w:rsidP="00E56208">
      <w:pPr>
        <w:pStyle w:val="Body1"/>
        <w:spacing w:after="0"/>
        <w:rPr>
          <w:rFonts w:ascii="Times New Roman" w:hAnsi="Times New Roman"/>
          <w:sz w:val="20"/>
          <w:szCs w:val="20"/>
          <w:lang w:val="en-US"/>
        </w:rPr>
      </w:pPr>
    </w:p>
    <w:p w14:paraId="488DA0B3" w14:textId="6BD369F1"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Any potential investor should note that investment in equity shares involves a high degree of risk and for details relating to such risks, see the section titled “Risk Factors”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 Potential investors should also refer to the Prospectus which will be filed with the</w:t>
      </w:r>
      <w:r w:rsidR="00112B29">
        <w:rPr>
          <w:rFonts w:ascii="Times New Roman" w:hAnsi="Times New Roman"/>
          <w:sz w:val="20"/>
          <w:szCs w:val="20"/>
          <w:lang w:val="en-US"/>
        </w:rPr>
        <w:t xml:space="preserve"> </w:t>
      </w:r>
      <w:r w:rsidR="00112B29" w:rsidRPr="00112B29">
        <w:rPr>
          <w:rFonts w:ascii="Times New Roman" w:hAnsi="Times New Roman"/>
          <w:sz w:val="20"/>
          <w:szCs w:val="20"/>
        </w:rPr>
        <w:t xml:space="preserve">Registrar of Companies, </w:t>
      </w:r>
      <w:r w:rsidR="002D6F7B">
        <w:rPr>
          <w:rFonts w:ascii="Times New Roman" w:hAnsi="Times New Roman"/>
          <w:sz w:val="20"/>
          <w:szCs w:val="20"/>
        </w:rPr>
        <w:t xml:space="preserve">Gujarat </w:t>
      </w:r>
      <w:r w:rsidR="000D6101">
        <w:rPr>
          <w:rFonts w:ascii="Times New Roman" w:hAnsi="Times New Roman"/>
          <w:sz w:val="20"/>
          <w:szCs w:val="20"/>
        </w:rPr>
        <w:t xml:space="preserve">at </w:t>
      </w:r>
      <w:r w:rsidR="002D6F7B">
        <w:rPr>
          <w:rFonts w:ascii="Times New Roman" w:hAnsi="Times New Roman"/>
          <w:sz w:val="20"/>
          <w:szCs w:val="20"/>
        </w:rPr>
        <w:t>Ahmedabad</w:t>
      </w:r>
      <w:r w:rsidR="002D6F7B" w:rsidRPr="002B3E9E">
        <w:rPr>
          <w:rFonts w:ascii="Times New Roman" w:hAnsi="Times New Roman"/>
          <w:sz w:val="20"/>
          <w:szCs w:val="20"/>
          <w:lang w:val="en-US"/>
        </w:rPr>
        <w:t xml:space="preserve"> </w:t>
      </w:r>
      <w:r w:rsidR="00112B29">
        <w:rPr>
          <w:rFonts w:ascii="Times New Roman" w:hAnsi="Times New Roman"/>
          <w:sz w:val="20"/>
          <w:szCs w:val="20"/>
          <w:lang w:val="en-US"/>
        </w:rPr>
        <w:t>(“</w:t>
      </w:r>
      <w:proofErr w:type="spellStart"/>
      <w:r w:rsidRPr="001645D1">
        <w:rPr>
          <w:rFonts w:ascii="Times New Roman" w:hAnsi="Times New Roman"/>
          <w:b/>
          <w:bCs/>
          <w:sz w:val="20"/>
          <w:szCs w:val="20"/>
          <w:lang w:val="en-US"/>
        </w:rPr>
        <w:t>RoC</w:t>
      </w:r>
      <w:proofErr w:type="spellEnd"/>
      <w:r w:rsidR="00112B29">
        <w:rPr>
          <w:rFonts w:ascii="Times New Roman" w:hAnsi="Times New Roman"/>
          <w:sz w:val="20"/>
          <w:szCs w:val="20"/>
          <w:lang w:val="en-US"/>
        </w:rPr>
        <w:t>”)</w:t>
      </w:r>
      <w:r w:rsidRPr="002B3E9E">
        <w:rPr>
          <w:rFonts w:ascii="Times New Roman" w:hAnsi="Times New Roman"/>
          <w:sz w:val="20"/>
          <w:szCs w:val="20"/>
          <w:lang w:val="en-US"/>
        </w:rPr>
        <w:t xml:space="preserve"> and SEBI in the future, including the section titled “Risk Factors”. </w:t>
      </w:r>
      <w:r w:rsidR="00111122">
        <w:rPr>
          <w:rFonts w:ascii="Times New Roman" w:hAnsi="Times New Roman"/>
          <w:sz w:val="20"/>
          <w:szCs w:val="20"/>
          <w:lang w:val="en-US"/>
        </w:rPr>
        <w:t xml:space="preserve">The </w:t>
      </w:r>
      <w:r w:rsidRPr="002B3E9E">
        <w:rPr>
          <w:rFonts w:ascii="Times New Roman" w:hAnsi="Times New Roman"/>
          <w:sz w:val="20"/>
          <w:szCs w:val="20"/>
          <w:lang w:val="en-US"/>
        </w:rPr>
        <w:t xml:space="preserve">IPO AV provides only the salient features of the </w:t>
      </w:r>
      <w:r w:rsidR="00FF0CEF">
        <w:rPr>
          <w:rFonts w:ascii="Times New Roman" w:hAnsi="Times New Roman"/>
          <w:sz w:val="20"/>
          <w:szCs w:val="20"/>
          <w:lang w:val="en-US"/>
        </w:rPr>
        <w:t>Issue</w:t>
      </w:r>
      <w:r w:rsidR="00FF0CEF" w:rsidRPr="002B3E9E">
        <w:rPr>
          <w:rFonts w:ascii="Times New Roman" w:hAnsi="Times New Roman"/>
          <w:sz w:val="20"/>
          <w:szCs w:val="20"/>
          <w:lang w:val="en-US"/>
        </w:rPr>
        <w:t xml:space="preserve"> </w:t>
      </w:r>
      <w:r w:rsidRPr="002B3E9E">
        <w:rPr>
          <w:rFonts w:ascii="Times New Roman" w:hAnsi="Times New Roman"/>
          <w:sz w:val="20"/>
          <w:szCs w:val="20"/>
          <w:lang w:val="en-US"/>
        </w:rPr>
        <w:t>and accordingly, potential investors should not rely on the IPO AV. Any decision on whether to invest in the equity shares must be made solely on the basis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w:t>
      </w:r>
    </w:p>
    <w:p w14:paraId="7C5ACB37" w14:textId="77777777" w:rsidR="00E56208" w:rsidRPr="002B3E9E" w:rsidRDefault="00E56208" w:rsidP="00E56208">
      <w:pPr>
        <w:pStyle w:val="Body1"/>
        <w:spacing w:after="0"/>
        <w:rPr>
          <w:rFonts w:ascii="Times New Roman" w:hAnsi="Times New Roman"/>
          <w:sz w:val="20"/>
          <w:szCs w:val="20"/>
          <w:lang w:val="en-US"/>
        </w:rPr>
      </w:pPr>
    </w:p>
    <w:p w14:paraId="37F43396" w14:textId="12555745"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You are accessing this website at your own risk and it is your responsibility to take precautions to ensure that it is free from viruses. Neither the Company, </w:t>
      </w:r>
      <w:r w:rsidR="00DC2284">
        <w:rPr>
          <w:rFonts w:ascii="Times New Roman" w:hAnsi="Times New Roman"/>
          <w:sz w:val="20"/>
          <w:szCs w:val="20"/>
          <w:lang w:val="en-US"/>
        </w:rPr>
        <w:t xml:space="preserve">Promoter, </w:t>
      </w:r>
      <w:r w:rsidRPr="002B3E9E">
        <w:rPr>
          <w:rFonts w:ascii="Times New Roman" w:hAnsi="Times New Roman"/>
          <w:sz w:val="20"/>
          <w:szCs w:val="20"/>
          <w:lang w:val="en-US"/>
        </w:rPr>
        <w:t>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2E6BC77A" w14:textId="77777777" w:rsidR="00E56208" w:rsidRPr="002B3E9E" w:rsidRDefault="00E56208" w:rsidP="00E56208">
      <w:pPr>
        <w:pStyle w:val="Body1"/>
        <w:spacing w:after="0"/>
        <w:rPr>
          <w:rFonts w:ascii="Times New Roman" w:hAnsi="Times New Roman"/>
          <w:sz w:val="20"/>
          <w:szCs w:val="20"/>
          <w:lang w:val="en-US"/>
        </w:rPr>
      </w:pPr>
    </w:p>
    <w:p w14:paraId="0FF8E697" w14:textId="7161D5BD"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w:t>
      </w:r>
      <w:r w:rsidR="00111122">
        <w:rPr>
          <w:rFonts w:ascii="Times New Roman" w:hAnsi="Times New Roman"/>
          <w:sz w:val="20"/>
          <w:szCs w:val="20"/>
          <w:lang w:val="en-US"/>
        </w:rPr>
        <w:t>this</w:t>
      </w:r>
      <w:r w:rsidR="00111122" w:rsidRPr="002B3E9E">
        <w:rPr>
          <w:rFonts w:ascii="Times New Roman" w:hAnsi="Times New Roman"/>
          <w:sz w:val="20"/>
          <w:szCs w:val="20"/>
          <w:lang w:val="en-US"/>
        </w:rPr>
        <w:t xml:space="preserve"> </w:t>
      </w:r>
      <w:r w:rsidRPr="002B3E9E">
        <w:rPr>
          <w:rFonts w:ascii="Times New Roman" w:hAnsi="Times New Roman"/>
          <w:sz w:val="20"/>
          <w:szCs w:val="20"/>
          <w:lang w:val="en-US"/>
        </w:rPr>
        <w:t>website does not constitute a part of the IPO AV.</w:t>
      </w:r>
    </w:p>
    <w:p w14:paraId="1C42A150" w14:textId="77777777" w:rsidR="00E56208" w:rsidRPr="002B3E9E" w:rsidRDefault="00E56208" w:rsidP="00E56208">
      <w:pPr>
        <w:pStyle w:val="Body1"/>
        <w:spacing w:after="0"/>
        <w:rPr>
          <w:rFonts w:ascii="Times New Roman" w:hAnsi="Times New Roman"/>
          <w:sz w:val="20"/>
          <w:szCs w:val="20"/>
          <w:lang w:val="en-US"/>
        </w:rPr>
      </w:pPr>
    </w:p>
    <w:p w14:paraId="43332C7D"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lastRenderedPageBreak/>
        <w:t>IF YOU ARE NOT PERMITTED TO VIEW THE MATERIALS ON THIS WEBSITE OR ARE IN ANY DOUBT AS TO WHETHER YOU ARE PERMITTED TO VIEW THESE MATERIALS, PLEASE EXIT THIS WEBPAGE.</w:t>
      </w:r>
    </w:p>
    <w:p w14:paraId="05BE65C3" w14:textId="77777777" w:rsidR="00E56208" w:rsidRPr="002B3E9E" w:rsidRDefault="00E56208" w:rsidP="00E56208">
      <w:pPr>
        <w:pStyle w:val="Body1"/>
        <w:spacing w:after="0"/>
        <w:rPr>
          <w:rFonts w:ascii="Times New Roman" w:hAnsi="Times New Roman"/>
          <w:sz w:val="20"/>
          <w:szCs w:val="20"/>
          <w:lang w:val="en-US"/>
        </w:rPr>
      </w:pPr>
    </w:p>
    <w:p w14:paraId="74528C74"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To access this information, you must confirm, by pressing on the button marked “I Confirm”, that at the time of access, you are located in India. If you cannot make this confirmation, you must press the button marked “I Do Not Confirm”.</w:t>
      </w:r>
    </w:p>
    <w:p w14:paraId="1DE33B33" w14:textId="77777777" w:rsidR="00E56208" w:rsidRPr="002B3E9E" w:rsidRDefault="00E56208" w:rsidP="00E56208">
      <w:pPr>
        <w:pStyle w:val="Body1"/>
        <w:spacing w:after="0"/>
        <w:rPr>
          <w:rFonts w:ascii="Times New Roman" w:hAnsi="Times New Roman"/>
          <w:sz w:val="20"/>
          <w:szCs w:val="20"/>
          <w:lang w:val="en-US"/>
        </w:rPr>
      </w:pPr>
    </w:p>
    <w:p w14:paraId="3664F86E"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5A9B74B1" w14:textId="77777777" w:rsidR="00E56208" w:rsidRPr="002B3E9E" w:rsidRDefault="00E56208" w:rsidP="00E56208">
      <w:pPr>
        <w:pStyle w:val="Body1"/>
        <w:spacing w:after="0"/>
        <w:rPr>
          <w:rFonts w:ascii="Times New Roman" w:hAnsi="Times New Roman"/>
          <w:sz w:val="20"/>
          <w:szCs w:val="20"/>
          <w:lang w:val="en-US"/>
        </w:rPr>
      </w:pPr>
    </w:p>
    <w:p w14:paraId="18D89740" w14:textId="77777777" w:rsidR="00E56208" w:rsidRPr="002B3E9E" w:rsidRDefault="00E56208" w:rsidP="00E56208">
      <w:pPr>
        <w:pStyle w:val="Body1"/>
        <w:spacing w:after="0"/>
        <w:rPr>
          <w:rFonts w:ascii="Times New Roman" w:hAnsi="Times New Roman"/>
          <w:sz w:val="20"/>
          <w:szCs w:val="20"/>
          <w:lang w:val="en-US"/>
        </w:rPr>
      </w:pPr>
    </w:p>
    <w:p w14:paraId="482F29C6" w14:textId="77777777" w:rsidR="00E56208" w:rsidRPr="002B3E9E" w:rsidRDefault="00E56208" w:rsidP="00E56208">
      <w:pPr>
        <w:pStyle w:val="Body1"/>
        <w:spacing w:after="0"/>
        <w:rPr>
          <w:rFonts w:ascii="Times New Roman" w:hAnsi="Times New Roman"/>
          <w:sz w:val="20"/>
          <w:szCs w:val="20"/>
          <w:lang w:val="en-US"/>
        </w:rPr>
      </w:pPr>
    </w:p>
    <w:p w14:paraId="54625B42" w14:textId="77777777" w:rsidR="00E56208" w:rsidRPr="002B3E9E" w:rsidRDefault="00E56208" w:rsidP="00E56208">
      <w:pPr>
        <w:pStyle w:val="Body1"/>
        <w:spacing w:after="0"/>
        <w:rPr>
          <w:rFonts w:ascii="Times New Roman" w:hAnsi="Times New Roman"/>
          <w:sz w:val="20"/>
          <w:szCs w:val="20"/>
          <w:lang w:val="en-US"/>
        </w:rPr>
      </w:pPr>
    </w:p>
    <w:p w14:paraId="43AB80A4" w14:textId="77777777" w:rsidR="00E56208" w:rsidRPr="002B3E9E" w:rsidRDefault="00E56208" w:rsidP="00E56208">
      <w:pPr>
        <w:pStyle w:val="Body1"/>
        <w:spacing w:after="0"/>
        <w:rPr>
          <w:rFonts w:ascii="Times New Roman" w:hAnsi="Times New Roman"/>
          <w:sz w:val="20"/>
          <w:szCs w:val="20"/>
          <w:lang w:val="en-US"/>
        </w:rPr>
      </w:pPr>
    </w:p>
    <w:sectPr w:rsidR="00E56208" w:rsidRPr="002B3E9E" w:rsidSect="000E29E7">
      <w:headerReference w:type="even" r:id="rId8"/>
      <w:headerReference w:type="default" r:id="rId9"/>
      <w:footerReference w:type="even" r:id="rId10"/>
      <w:footerReference w:type="default" r:id="rId11"/>
      <w:headerReference w:type="first" r:id="rId12"/>
      <w:footerReference w:type="first" r:id="rId1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1E9D" w14:textId="77777777" w:rsidR="004564F5" w:rsidRDefault="004564F5">
      <w:r>
        <w:separator/>
      </w:r>
    </w:p>
  </w:endnote>
  <w:endnote w:type="continuationSeparator" w:id="0">
    <w:p w14:paraId="0F307E0E" w14:textId="77777777" w:rsidR="004564F5" w:rsidRDefault="0045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FE19" w14:textId="77777777" w:rsidR="0036315B" w:rsidRDefault="00363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7151" w14:textId="77777777" w:rsidR="00F903F3" w:rsidRDefault="00F903F3" w:rsidP="00325E49">
    <w:pPr>
      <w:pStyle w:val="Footer"/>
    </w:pPr>
  </w:p>
  <w:p w14:paraId="3C781AE6" w14:textId="77777777" w:rsidR="00F903F3" w:rsidRDefault="00565E94" w:rsidP="00325E49">
    <w:pPr>
      <w:pStyle w:val="Footer"/>
    </w:pPr>
    <w:sdt>
      <w:sdtPr>
        <w:alias w:val="DocID"/>
        <w:tag w:val="DocID"/>
        <w:id w:val="1506560089"/>
        <w:text/>
      </w:sdtPr>
      <w:sdtEndPr/>
      <w:sdtContent>
        <w:r w:rsidR="00F903F3">
          <w:t xml:space="preserve">     </w:t>
        </w:r>
      </w:sdtContent>
    </w:sdt>
    <w:r w:rsidR="00F903F3">
      <w:tab/>
    </w:r>
    <w:r w:rsidR="00F903F3">
      <w:tab/>
    </w:r>
    <w:sdt>
      <w:sdtPr>
        <w:alias w:val="Firm name"/>
        <w:tag w:val="FirmName"/>
        <w:id w:val="-448084639"/>
        <w:showingPlcHdr/>
        <w:text/>
      </w:sdtPr>
      <w:sdtEndPr/>
      <w:sdtContent/>
    </w:sdt>
  </w:p>
  <w:p w14:paraId="58A34405" w14:textId="77777777" w:rsidR="00C326AE" w:rsidRDefault="00C326AE">
    <w:pPr>
      <w:pStyle w:val="Footer"/>
    </w:pPr>
  </w:p>
  <w:p w14:paraId="66ACC7BD" w14:textId="6CB93FC0" w:rsidR="00F903F3" w:rsidRDefault="00F903F3" w:rsidP="00C32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85D5" w14:textId="77777777" w:rsidR="00F903F3" w:rsidRDefault="00F903F3" w:rsidP="00C46C82">
    <w:pPr>
      <w:pStyle w:val="Footer"/>
    </w:pPr>
  </w:p>
  <w:p w14:paraId="57BD2055" w14:textId="77777777" w:rsidR="00F903F3" w:rsidRDefault="00565E94" w:rsidP="00C46C82">
    <w:pPr>
      <w:pStyle w:val="Footer"/>
    </w:pPr>
    <w:sdt>
      <w:sdtPr>
        <w:alias w:val="DocID"/>
        <w:tag w:val="DocID"/>
        <w:id w:val="-1417707420"/>
        <w:text/>
      </w:sdtPr>
      <w:sdtEndPr/>
      <w:sdtContent>
        <w:r w:rsidR="00F903F3">
          <w:t xml:space="preserve">     </w:t>
        </w:r>
      </w:sdtContent>
    </w:sdt>
    <w:r w:rsidR="00F903F3">
      <w:tab/>
    </w:r>
    <w:r w:rsidR="00F903F3">
      <w:tab/>
    </w:r>
    <w:sdt>
      <w:sdtPr>
        <w:alias w:val="Firm name"/>
        <w:tag w:val="FirmName"/>
        <w:id w:val="-565877776"/>
        <w:showingPlcHdr/>
        <w:text/>
      </w:sdtPr>
      <w:sdtEndPr/>
      <w:sdtContent/>
    </w:sdt>
  </w:p>
  <w:p w14:paraId="68499858" w14:textId="77777777" w:rsidR="00C326AE" w:rsidRDefault="00C326AE">
    <w:pPr>
      <w:pStyle w:val="Footer"/>
    </w:pPr>
  </w:p>
  <w:p w14:paraId="0D8E428F" w14:textId="30B6B7E3" w:rsidR="00F903F3" w:rsidRDefault="00F903F3" w:rsidP="00C32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4771" w14:textId="77777777" w:rsidR="004564F5" w:rsidRPr="00586325" w:rsidRDefault="004564F5" w:rsidP="00586325">
      <w:pPr>
        <w:pStyle w:val="Footer"/>
      </w:pPr>
      <w:r>
        <w:continuationSeparator/>
      </w:r>
    </w:p>
  </w:footnote>
  <w:footnote w:type="continuationSeparator" w:id="0">
    <w:p w14:paraId="3B6C7831" w14:textId="77777777" w:rsidR="004564F5" w:rsidRDefault="004564F5" w:rsidP="00586325">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A43F" w14:textId="77777777" w:rsidR="0036315B" w:rsidRDefault="00363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B3F7" w14:textId="77777777" w:rsidR="00AF4E83" w:rsidRDefault="00AF4E83" w:rsidP="008660CB">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5D8AAA6C" w14:textId="77777777" w:rsidR="00AF4E83" w:rsidRDefault="00AF4E83" w:rsidP="008660CB">
    <w:pPr>
      <w:pStyle w:val="Header"/>
      <w:jc w:val="left"/>
    </w:pPr>
  </w:p>
  <w:p w14:paraId="2BB8EB12" w14:textId="77777777" w:rsidR="00AF4E83" w:rsidRDefault="00AF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4A7C" w14:textId="77777777" w:rsidR="0036315B" w:rsidRDefault="00363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4096"/>
  </w:docVars>
  <w:rsids>
    <w:rsidRoot w:val="00E56208"/>
    <w:rsid w:val="00001EFF"/>
    <w:rsid w:val="00002F65"/>
    <w:rsid w:val="000174DD"/>
    <w:rsid w:val="00040E28"/>
    <w:rsid w:val="00041450"/>
    <w:rsid w:val="0004544B"/>
    <w:rsid w:val="00071E3B"/>
    <w:rsid w:val="00083E24"/>
    <w:rsid w:val="000903CA"/>
    <w:rsid w:val="00091813"/>
    <w:rsid w:val="00092533"/>
    <w:rsid w:val="00093909"/>
    <w:rsid w:val="000A6825"/>
    <w:rsid w:val="000A7590"/>
    <w:rsid w:val="000C1974"/>
    <w:rsid w:val="000C3424"/>
    <w:rsid w:val="000D6101"/>
    <w:rsid w:val="000D77B5"/>
    <w:rsid w:val="000D7A8E"/>
    <w:rsid w:val="000E29E7"/>
    <w:rsid w:val="000E4D60"/>
    <w:rsid w:val="00101A53"/>
    <w:rsid w:val="00111122"/>
    <w:rsid w:val="00112B29"/>
    <w:rsid w:val="0011634C"/>
    <w:rsid w:val="001213C6"/>
    <w:rsid w:val="00134AE3"/>
    <w:rsid w:val="0013711B"/>
    <w:rsid w:val="001645D1"/>
    <w:rsid w:val="00164A05"/>
    <w:rsid w:val="001913C1"/>
    <w:rsid w:val="001B4F9F"/>
    <w:rsid w:val="001C3695"/>
    <w:rsid w:val="001D7CCC"/>
    <w:rsid w:val="002213B5"/>
    <w:rsid w:val="00225252"/>
    <w:rsid w:val="00247E76"/>
    <w:rsid w:val="0025196A"/>
    <w:rsid w:val="0027059F"/>
    <w:rsid w:val="00284B7B"/>
    <w:rsid w:val="00284EA4"/>
    <w:rsid w:val="00296DBD"/>
    <w:rsid w:val="002B3E9E"/>
    <w:rsid w:val="002C0B79"/>
    <w:rsid w:val="002C6598"/>
    <w:rsid w:val="002D6180"/>
    <w:rsid w:val="002D6F7B"/>
    <w:rsid w:val="00325E49"/>
    <w:rsid w:val="003443D5"/>
    <w:rsid w:val="00350F94"/>
    <w:rsid w:val="00354458"/>
    <w:rsid w:val="00362D12"/>
    <w:rsid w:val="0036315B"/>
    <w:rsid w:val="003A37FD"/>
    <w:rsid w:val="003C4058"/>
    <w:rsid w:val="003C4640"/>
    <w:rsid w:val="003D19AA"/>
    <w:rsid w:val="003D599E"/>
    <w:rsid w:val="003E4347"/>
    <w:rsid w:val="004069C0"/>
    <w:rsid w:val="00412CE6"/>
    <w:rsid w:val="004318BF"/>
    <w:rsid w:val="00436B0E"/>
    <w:rsid w:val="00443C4F"/>
    <w:rsid w:val="004564F5"/>
    <w:rsid w:val="00460539"/>
    <w:rsid w:val="00474065"/>
    <w:rsid w:val="00486920"/>
    <w:rsid w:val="004A6740"/>
    <w:rsid w:val="004B05D7"/>
    <w:rsid w:val="004C31F3"/>
    <w:rsid w:val="005045A9"/>
    <w:rsid w:val="00521D74"/>
    <w:rsid w:val="005427ED"/>
    <w:rsid w:val="00547D7B"/>
    <w:rsid w:val="00563D29"/>
    <w:rsid w:val="00565E94"/>
    <w:rsid w:val="005750C7"/>
    <w:rsid w:val="00586325"/>
    <w:rsid w:val="005A2820"/>
    <w:rsid w:val="005B636B"/>
    <w:rsid w:val="005C48DA"/>
    <w:rsid w:val="005C58DF"/>
    <w:rsid w:val="005D7A96"/>
    <w:rsid w:val="005E64D0"/>
    <w:rsid w:val="005F30A9"/>
    <w:rsid w:val="00611F80"/>
    <w:rsid w:val="00615756"/>
    <w:rsid w:val="00631605"/>
    <w:rsid w:val="0063519A"/>
    <w:rsid w:val="00637CE7"/>
    <w:rsid w:val="00641981"/>
    <w:rsid w:val="0066349C"/>
    <w:rsid w:val="00664EC6"/>
    <w:rsid w:val="00665A5B"/>
    <w:rsid w:val="00671861"/>
    <w:rsid w:val="006E1EA1"/>
    <w:rsid w:val="007043FC"/>
    <w:rsid w:val="00790859"/>
    <w:rsid w:val="007B159D"/>
    <w:rsid w:val="007C03F7"/>
    <w:rsid w:val="007D10E8"/>
    <w:rsid w:val="007D4683"/>
    <w:rsid w:val="007F7F66"/>
    <w:rsid w:val="00822317"/>
    <w:rsid w:val="00826150"/>
    <w:rsid w:val="00827FF9"/>
    <w:rsid w:val="008305D6"/>
    <w:rsid w:val="00836488"/>
    <w:rsid w:val="00876524"/>
    <w:rsid w:val="008A4246"/>
    <w:rsid w:val="008B2806"/>
    <w:rsid w:val="008C15DB"/>
    <w:rsid w:val="008C77D5"/>
    <w:rsid w:val="009116E3"/>
    <w:rsid w:val="00911B48"/>
    <w:rsid w:val="0092110B"/>
    <w:rsid w:val="00926C53"/>
    <w:rsid w:val="0095152E"/>
    <w:rsid w:val="009515B0"/>
    <w:rsid w:val="00957028"/>
    <w:rsid w:val="00966A7F"/>
    <w:rsid w:val="009A1F3C"/>
    <w:rsid w:val="009A5A44"/>
    <w:rsid w:val="009B2F07"/>
    <w:rsid w:val="009B7FC4"/>
    <w:rsid w:val="009D24F1"/>
    <w:rsid w:val="009E5624"/>
    <w:rsid w:val="009F3AA9"/>
    <w:rsid w:val="009F407B"/>
    <w:rsid w:val="009F5E0D"/>
    <w:rsid w:val="00A11298"/>
    <w:rsid w:val="00A23128"/>
    <w:rsid w:val="00A446D5"/>
    <w:rsid w:val="00A47C60"/>
    <w:rsid w:val="00A54CED"/>
    <w:rsid w:val="00A73B2A"/>
    <w:rsid w:val="00A747FE"/>
    <w:rsid w:val="00AA422A"/>
    <w:rsid w:val="00AB2BC5"/>
    <w:rsid w:val="00AC67C2"/>
    <w:rsid w:val="00AD2466"/>
    <w:rsid w:val="00AD73CC"/>
    <w:rsid w:val="00AE6229"/>
    <w:rsid w:val="00AF2F6C"/>
    <w:rsid w:val="00AF4E83"/>
    <w:rsid w:val="00B512E2"/>
    <w:rsid w:val="00B8026E"/>
    <w:rsid w:val="00BE7F58"/>
    <w:rsid w:val="00BF1406"/>
    <w:rsid w:val="00BF6223"/>
    <w:rsid w:val="00C05BB4"/>
    <w:rsid w:val="00C10D16"/>
    <w:rsid w:val="00C1247B"/>
    <w:rsid w:val="00C16DCF"/>
    <w:rsid w:val="00C25254"/>
    <w:rsid w:val="00C266C0"/>
    <w:rsid w:val="00C326AE"/>
    <w:rsid w:val="00C372A1"/>
    <w:rsid w:val="00C40C31"/>
    <w:rsid w:val="00C43E27"/>
    <w:rsid w:val="00C65A2B"/>
    <w:rsid w:val="00C77C6E"/>
    <w:rsid w:val="00C8006E"/>
    <w:rsid w:val="00C958F2"/>
    <w:rsid w:val="00C96286"/>
    <w:rsid w:val="00CB747D"/>
    <w:rsid w:val="00CC10E7"/>
    <w:rsid w:val="00CD1BF3"/>
    <w:rsid w:val="00CD3C44"/>
    <w:rsid w:val="00CE2D50"/>
    <w:rsid w:val="00CE7735"/>
    <w:rsid w:val="00D03D1D"/>
    <w:rsid w:val="00D03ED5"/>
    <w:rsid w:val="00D17215"/>
    <w:rsid w:val="00D2538C"/>
    <w:rsid w:val="00D25E01"/>
    <w:rsid w:val="00D304E8"/>
    <w:rsid w:val="00D310C4"/>
    <w:rsid w:val="00D67411"/>
    <w:rsid w:val="00D70947"/>
    <w:rsid w:val="00DB4683"/>
    <w:rsid w:val="00DB60B0"/>
    <w:rsid w:val="00DC11C1"/>
    <w:rsid w:val="00DC2284"/>
    <w:rsid w:val="00DE129D"/>
    <w:rsid w:val="00DE3288"/>
    <w:rsid w:val="00DE3A4D"/>
    <w:rsid w:val="00DF0E09"/>
    <w:rsid w:val="00DF3BAC"/>
    <w:rsid w:val="00E32F50"/>
    <w:rsid w:val="00E45680"/>
    <w:rsid w:val="00E56208"/>
    <w:rsid w:val="00E61F2A"/>
    <w:rsid w:val="00E87571"/>
    <w:rsid w:val="00E9015E"/>
    <w:rsid w:val="00EB06F3"/>
    <w:rsid w:val="00ED08A9"/>
    <w:rsid w:val="00EE5E05"/>
    <w:rsid w:val="00F164AB"/>
    <w:rsid w:val="00F70CE8"/>
    <w:rsid w:val="00F75BC7"/>
    <w:rsid w:val="00F82CC8"/>
    <w:rsid w:val="00F839CF"/>
    <w:rsid w:val="00F903F3"/>
    <w:rsid w:val="00F95754"/>
    <w:rsid w:val="00FB2B42"/>
    <w:rsid w:val="00FC3332"/>
    <w:rsid w:val="00FC4900"/>
    <w:rsid w:val="00FE1786"/>
    <w:rsid w:val="00FE5DA8"/>
    <w:rsid w:val="00FF0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7"/>
    <w:qFormat/>
    <w:rsid w:val="005045A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rsid w:val="00B512E2"/>
    <w:pPr>
      <w:spacing w:line="240" w:lineRule="auto"/>
    </w:pPr>
    <w:rPr>
      <w:b/>
      <w:bCs/>
      <w:szCs w:val="20"/>
    </w:rPr>
  </w:style>
  <w:style w:type="character" w:customStyle="1" w:styleId="CommentSubjectChar">
    <w:name w:val="Comment Subject Char"/>
    <w:basedOn w:val="CommentTextChar"/>
    <w:link w:val="CommentSubject"/>
    <w:uiPriority w:val="17"/>
    <w:semiHidden/>
    <w:rsid w:val="00B512E2"/>
    <w:rPr>
      <w:rFonts w:eastAsia="Arial Unicode MS"/>
      <w:b/>
      <w:bCs/>
      <w:sz w:val="20"/>
      <w:szCs w:val="20"/>
    </w:rPr>
  </w:style>
  <w:style w:type="character" w:styleId="UnresolvedMention">
    <w:name w:val="Unresolved Mention"/>
    <w:basedOn w:val="DefaultParagraphFont"/>
    <w:uiPriority w:val="99"/>
    <w:semiHidden/>
    <w:unhideWhenUsed/>
    <w:rsid w:val="005B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812">
      <w:bodyDiv w:val="1"/>
      <w:marLeft w:val="0"/>
      <w:marRight w:val="0"/>
      <w:marTop w:val="0"/>
      <w:marBottom w:val="0"/>
      <w:divBdr>
        <w:top w:val="none" w:sz="0" w:space="0" w:color="auto"/>
        <w:left w:val="none" w:sz="0" w:space="0" w:color="auto"/>
        <w:bottom w:val="none" w:sz="0" w:space="0" w:color="auto"/>
        <w:right w:val="none" w:sz="0" w:space="0" w:color="auto"/>
      </w:divBdr>
      <w:divsChild>
        <w:div w:id="1451977134">
          <w:marLeft w:val="0"/>
          <w:marRight w:val="0"/>
          <w:marTop w:val="0"/>
          <w:marBottom w:val="0"/>
          <w:divBdr>
            <w:top w:val="none" w:sz="0" w:space="0" w:color="auto"/>
            <w:left w:val="none" w:sz="0" w:space="0" w:color="auto"/>
            <w:bottom w:val="none" w:sz="0" w:space="0" w:color="auto"/>
            <w:right w:val="none" w:sz="0" w:space="0" w:color="auto"/>
          </w:divBdr>
        </w:div>
        <w:div w:id="1362517339">
          <w:marLeft w:val="0"/>
          <w:marRight w:val="0"/>
          <w:marTop w:val="0"/>
          <w:marBottom w:val="0"/>
          <w:divBdr>
            <w:top w:val="single" w:sz="6" w:space="0" w:color="DEE2E6"/>
            <w:left w:val="none" w:sz="0" w:space="0" w:color="auto"/>
            <w:bottom w:val="none" w:sz="0" w:space="0" w:color="auto"/>
            <w:right w:val="none" w:sz="0" w:space="0" w:color="auto"/>
          </w:divBdr>
        </w:div>
      </w:divsChild>
    </w:div>
    <w:div w:id="86228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DMS!6582638.2</documentid>
  <senderid>LMARJAMA</senderid>
  <senderemail>lmarjamaki@cravath.com</senderemail>
  <lastmodified>2024-11-07T11:56:00.0000000+00:00</lastmodified>
  <database>DMS</database>
</properties>
</file>

<file path=customXml/itemProps1.xml><?xml version="1.0" encoding="utf-8"?>
<ds:datastoreItem xmlns:ds="http://schemas.openxmlformats.org/officeDocument/2006/customXml" ds:itemID="{26F24858-D323-4C96-83DA-4B5DBFE2D9A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2024-11-07T12:05:00Z</dcterms:created>
  <dcterms:modified xsi:type="dcterms:W3CDTF">2024-11-07T12:29:00Z</dcterms:modified>
</cp:coreProperties>
</file>